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A0042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1068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realização de limpeza no córrego que corta a Rua Antonio Carlos Silveira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Arnóbio</w:t>
      </w:r>
      <w:proofErr w:type="spellEnd"/>
      <w:r w:rsidR="000A0042">
        <w:rPr>
          <w:rFonts w:ascii="Arial" w:hAnsi="Arial" w:cs="Arial"/>
          <w:i/>
          <w:iCs/>
          <w:sz w:val="22"/>
          <w:szCs w:val="22"/>
        </w:rPr>
        <w:t>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A0042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limpeza no córrego que corta a Rua Antonio Carlos Silveira </w:t>
      </w:r>
      <w:proofErr w:type="spellStart"/>
      <w:r>
        <w:rPr>
          <w:rFonts w:ascii="Arial" w:hAnsi="Arial" w:cs="Arial"/>
          <w:sz w:val="22"/>
          <w:szCs w:val="22"/>
        </w:rPr>
        <w:t>Arnóbio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0A0042" w:rsidRDefault="000A0042" w:rsidP="000A0042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 </w:t>
      </w:r>
      <w:r>
        <w:rPr>
          <w:rFonts w:ascii="Arial" w:hAnsi="Arial" w:cs="Arial"/>
          <w:sz w:val="22"/>
          <w:szCs w:val="22"/>
        </w:rPr>
        <w:t>pedido se justifica em virtude de evitar alagamento pelo acúmulo de lixo em dias de chuva. Além de prezar pelos bens dos moradores da localidade, visto que enchentes podem prejudicá-los.</w:t>
      </w:r>
    </w:p>
    <w:p w:rsidR="000A0042" w:rsidRDefault="000A0042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0A0042" w:rsidRDefault="000A0042" w:rsidP="008C78DA">
      <w:pPr>
        <w:widowControl w:val="0"/>
        <w:autoSpaceDE w:val="0"/>
        <w:autoSpaceDN w:val="0"/>
        <w:adjustRightInd w:val="0"/>
      </w:pPr>
    </w:p>
    <w:p w:rsidR="000A0042" w:rsidRDefault="000A0042" w:rsidP="008C7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26/11/2019 - 16:07 8495/2019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0042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2608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2017-06-28T12:54:00Z</cp:lastPrinted>
  <dcterms:created xsi:type="dcterms:W3CDTF">2017-06-28T12:54:00Z</dcterms:created>
  <dcterms:modified xsi:type="dcterms:W3CDTF">2019-11-28T13:46:00Z</dcterms:modified>
</cp:coreProperties>
</file>